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507EC628"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tab/>
      </w:r>
      <w:r w:rsidR="00D46431">
        <w:tab/>
      </w:r>
      <w:r w:rsidRPr="001F021C">
        <w:t>R</w:t>
      </w:r>
      <w:r w:rsidR="003C564B" w:rsidRPr="001F021C">
        <w:t>4</w:t>
      </w:r>
      <w:r w:rsidRPr="001F021C">
        <w:t>-</w:t>
      </w:r>
      <w:r w:rsidR="00D46431" w:rsidRPr="001F021C">
        <w:t>19</w:t>
      </w:r>
      <w:r w:rsidR="001F021C">
        <w:t>08030</w:t>
      </w:r>
    </w:p>
    <w:p w14:paraId="50DC9730" w14:textId="3E09EA27" w:rsidR="00D309CC" w:rsidRPr="00FD166F" w:rsidRDefault="003C564B" w:rsidP="00D46431">
      <w:pPr>
        <w:pStyle w:val="CH"/>
        <w:tabs>
          <w:tab w:val="clear" w:pos="7920"/>
        </w:tabs>
        <w:rPr>
          <w:b w:val="0"/>
        </w:rPr>
      </w:pPr>
      <w:r w:rsidRPr="003C564B">
        <w:t>Ljubljana</w:t>
      </w:r>
      <w:r w:rsidR="00D309CC" w:rsidRPr="003C564B">
        <w:t xml:space="preserve">, </w:t>
      </w:r>
      <w:r w:rsidRPr="003C564B">
        <w:t>Slovenia</w:t>
      </w:r>
      <w:r w:rsidR="00D309CC" w:rsidRPr="003C564B">
        <w:t xml:space="preserve">, </w:t>
      </w:r>
      <w:r w:rsidRPr="003C564B">
        <w:t>26-30th August 2019</w:t>
      </w:r>
      <w:r w:rsidR="00D46431">
        <w:tab/>
      </w:r>
    </w:p>
    <w:p w14:paraId="39A0EE25" w14:textId="77777777" w:rsidR="00D309CC" w:rsidRDefault="00D309CC" w:rsidP="00D309CC">
      <w:pPr>
        <w:tabs>
          <w:tab w:val="left" w:pos="2160"/>
        </w:tabs>
        <w:rPr>
          <w:rFonts w:ascii="Arial" w:hAnsi="Arial" w:cs="Arial"/>
          <w:b/>
        </w:rPr>
      </w:pPr>
    </w:p>
    <w:p w14:paraId="6DDCE159" w14:textId="506AFEAA" w:rsidR="00D309CC" w:rsidRPr="0008103A" w:rsidRDefault="00D309CC" w:rsidP="00D309CC">
      <w:pPr>
        <w:pStyle w:val="CH"/>
        <w:rPr>
          <w:b w:val="0"/>
        </w:rPr>
      </w:pPr>
      <w:r w:rsidRPr="0008103A">
        <w:t>Agenda item:</w:t>
      </w:r>
      <w:r>
        <w:tab/>
      </w:r>
      <w:r w:rsidR="005E28D9">
        <w:t>9.3.2.2</w:t>
      </w:r>
    </w:p>
    <w:p w14:paraId="4DBE005A" w14:textId="77777777" w:rsidR="00D309CC" w:rsidRPr="0008103A" w:rsidRDefault="00D309CC" w:rsidP="00D309CC">
      <w:pPr>
        <w:pStyle w:val="CH"/>
        <w:rPr>
          <w:b w:val="0"/>
        </w:rPr>
      </w:pPr>
      <w:r>
        <w:t>Source:</w:t>
      </w:r>
      <w:r>
        <w:tab/>
        <w:t>Apple Inc.</w:t>
      </w:r>
    </w:p>
    <w:p w14:paraId="0D2061A1" w14:textId="7EDF1171" w:rsidR="00D309CC" w:rsidRDefault="00D309CC" w:rsidP="00D309CC">
      <w:pPr>
        <w:pStyle w:val="CH"/>
      </w:pPr>
      <w:r w:rsidRPr="0008103A">
        <w:t>Title:</w:t>
      </w:r>
      <w:r w:rsidRPr="0008103A">
        <w:tab/>
      </w:r>
      <w:bookmarkStart w:id="1" w:name="OLE_LINK3"/>
      <w:r w:rsidR="005E28D9">
        <w:t>Further considerations on the RACH-less handover for NR</w:t>
      </w:r>
      <w:bookmarkEnd w:id="1"/>
    </w:p>
    <w:p w14:paraId="052B1E0C" w14:textId="58956DE5" w:rsidR="00104BC6" w:rsidRDefault="00104BC6" w:rsidP="00D309CC">
      <w:pPr>
        <w:pStyle w:val="CH"/>
      </w:pPr>
      <w:r>
        <w:t>WI:</w:t>
      </w:r>
      <w:r>
        <w:tab/>
      </w:r>
      <w:bookmarkStart w:id="2" w:name="OLE_LINK4"/>
      <w:proofErr w:type="spellStart"/>
      <w:r w:rsidR="005E28D9" w:rsidRPr="005E28D9">
        <w:t>NR_Mob_enh</w:t>
      </w:r>
      <w:proofErr w:type="spellEnd"/>
      <w:r w:rsidR="005E28D9" w:rsidRPr="005E28D9">
        <w:t>-Core</w:t>
      </w:r>
      <w:bookmarkEnd w:id="2"/>
    </w:p>
    <w:p w14:paraId="6C6D1281" w14:textId="5872D1FD" w:rsidR="00104BC6" w:rsidRDefault="00104BC6" w:rsidP="00D309CC">
      <w:pPr>
        <w:pStyle w:val="CH"/>
        <w:rPr>
          <w:b w:val="0"/>
        </w:rPr>
      </w:pPr>
      <w:r w:rsidRPr="005E28D9">
        <w:t>Release:</w:t>
      </w:r>
      <w:r w:rsidRPr="005E28D9">
        <w:tab/>
        <w:t>Rel-</w:t>
      </w:r>
      <w:r w:rsidR="005E28D9" w:rsidRPr="005E28D9">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6FBD7C94" w:rsidR="008E7986" w:rsidRDefault="00F37DBA" w:rsidP="008E7986">
      <w:r>
        <w:t>LTE mobility enhancements, which were specified in Rel-14, introduced two features that aim at decreasing overall handover time: MBB and RACH-less</w:t>
      </w:r>
      <w:r w:rsidR="003E7753">
        <w:t xml:space="preserve">. </w:t>
      </w:r>
      <w:r>
        <w:t>As similar mobility enhancements are being considered now for NR in Rel-16</w:t>
      </w:r>
      <w:r w:rsidR="00A122EC">
        <w:t xml:space="preserve"> </w:t>
      </w:r>
      <w:r w:rsidR="00A122EC">
        <w:fldChar w:fldCharType="begin"/>
      </w:r>
      <w:r w:rsidR="00A122EC">
        <w:instrText xml:space="preserve"> REF _Ref16853152 \r \h </w:instrText>
      </w:r>
      <w:r w:rsidR="00A122EC">
        <w:fldChar w:fldCharType="separate"/>
      </w:r>
      <w:r w:rsidR="00A122EC">
        <w:t>[1]</w:t>
      </w:r>
      <w:r w:rsidR="00A122EC">
        <w:fldChar w:fldCharType="end"/>
      </w:r>
      <w:r>
        <w:t xml:space="preserve">, companies present further technical analysis on whether same design principles as in LTE would be applicable for NR or new solutions should be developed. </w:t>
      </w:r>
      <w:r w:rsidR="00976D69">
        <w:t xml:space="preserve">Referring more specifically to the RACH-less feature, </w:t>
      </w:r>
      <w:r>
        <w:t>absence of the RACH phase creates new challenges for estimating correctly timing adjustment and UL grant allocation in the target cell. Thus, in this discussion paper we present our further considerations for the timing adjustment and beam related aspects in NR FR1 and FR2 networks</w:t>
      </w:r>
      <w:r w:rsidR="00E72324">
        <w:t>.</w:t>
      </w:r>
      <w:r w:rsidR="00E72324" w:rsidRPr="00E72324">
        <w:t xml:space="preserve"> </w:t>
      </w:r>
    </w:p>
    <w:p w14:paraId="3A67921B" w14:textId="3E7FB638" w:rsidR="008E7986" w:rsidRDefault="008E7986" w:rsidP="008E7986">
      <w:pPr>
        <w:pStyle w:val="Heading1"/>
      </w:pPr>
      <w:r>
        <w:t>2</w:t>
      </w:r>
      <w:r>
        <w:tab/>
      </w:r>
      <w:r w:rsidR="005E28D9">
        <w:t xml:space="preserve">RACH-less </w:t>
      </w:r>
      <w:proofErr w:type="gramStart"/>
      <w:r w:rsidR="005E28D9">
        <w:t>handover</w:t>
      </w:r>
      <w:proofErr w:type="gramEnd"/>
      <w:r w:rsidR="005E28D9">
        <w:t xml:space="preserve"> for NR</w:t>
      </w:r>
      <w:r>
        <w:t xml:space="preserve"> </w:t>
      </w:r>
    </w:p>
    <w:p w14:paraId="7228DA19" w14:textId="098F8869" w:rsidR="00E72324" w:rsidRDefault="005E28D9" w:rsidP="00E72324">
      <w:r>
        <w:t>For the sake of clarity, we will present separately our considerations for the time alignment related issues (which are common for both FR1 and FR2), and beam management specific aspects that are specific for FR2 bands.</w:t>
      </w:r>
      <w:r w:rsidR="00E72324" w:rsidRPr="00E72324">
        <w:t xml:space="preserve"> </w:t>
      </w:r>
    </w:p>
    <w:p w14:paraId="2ED90DB7" w14:textId="6EA47294" w:rsidR="008E7986" w:rsidRDefault="008E7986" w:rsidP="008E7986">
      <w:pPr>
        <w:pStyle w:val="Heading2"/>
      </w:pPr>
      <w:r>
        <w:t>2.1</w:t>
      </w:r>
      <w:r>
        <w:tab/>
      </w:r>
      <w:r w:rsidR="005E28D9">
        <w:t>Tim</w:t>
      </w:r>
      <w:r w:rsidR="00650A56">
        <w:t>ing</w:t>
      </w:r>
      <w:r w:rsidR="005E28D9">
        <w:t xml:space="preserve"> </w:t>
      </w:r>
      <w:r w:rsidR="00650A56">
        <w:t>adjustment</w:t>
      </w:r>
      <w:r w:rsidR="005E28D9">
        <w:t xml:space="preserve"> </w:t>
      </w:r>
      <w:r w:rsidR="0016425D">
        <w:t xml:space="preserve">aspects common </w:t>
      </w:r>
      <w:r w:rsidR="005E28D9">
        <w:t>for FR1 and FR2</w:t>
      </w:r>
    </w:p>
    <w:p w14:paraId="2443ED2A" w14:textId="1F4F6B0E" w:rsidR="00E72324" w:rsidRDefault="007614A0" w:rsidP="00E72324">
      <w:r>
        <w:t>As already captured in way forward from RAN WG</w:t>
      </w:r>
      <w:r w:rsidR="00787AA0">
        <w:t xml:space="preserve"> </w:t>
      </w:r>
      <w:r w:rsidR="00787AA0">
        <w:fldChar w:fldCharType="begin"/>
      </w:r>
      <w:r w:rsidR="00787AA0">
        <w:instrText xml:space="preserve"> REF _Ref16853229 \r \h </w:instrText>
      </w:r>
      <w:r w:rsidR="00787AA0">
        <w:fldChar w:fldCharType="separate"/>
      </w:r>
      <w:r w:rsidR="00787AA0">
        <w:t>[2]</w:t>
      </w:r>
      <w:r w:rsidR="00787AA0">
        <w:fldChar w:fldCharType="end"/>
      </w:r>
      <w:r>
        <w:t xml:space="preserve">, regardless of the fact whether RACH-less handover is applied to FR1 or FR2 bands, there are two major options feasible </w:t>
      </w:r>
      <w:r w:rsidR="00B22FC4">
        <w:t xml:space="preserve">for </w:t>
      </w:r>
      <w:r>
        <w:t>the target cell TA configuration: zero TA and current</w:t>
      </w:r>
      <w:r w:rsidR="00787AA0">
        <w:t>/equal</w:t>
      </w:r>
      <w:r>
        <w:t xml:space="preserve"> TA. In fact, the </w:t>
      </w:r>
      <w:r w:rsidR="00B22FC4">
        <w:t xml:space="preserve">same </w:t>
      </w:r>
      <w:r>
        <w:t xml:space="preserve">conclusion </w:t>
      </w:r>
      <w:r w:rsidR="00B22FC4">
        <w:t>was reached by</w:t>
      </w:r>
      <w:r>
        <w:t xml:space="preserve"> RAN WG1 and WG4 when the RACH-less feature was standardized for LTE in Rel-14. </w:t>
      </w:r>
      <w:r w:rsidR="00B22FC4">
        <w:t xml:space="preserve">At the same time, it is worth </w:t>
      </w:r>
      <w:r w:rsidR="003D42BF">
        <w:t>mentioning</w:t>
      </w:r>
      <w:r w:rsidR="00B22FC4">
        <w:t xml:space="preserve"> that</w:t>
      </w:r>
      <w:r w:rsidR="00787AA0">
        <w:t xml:space="preserve"> </w:t>
      </w:r>
      <w:r w:rsidR="00787AA0">
        <w:fldChar w:fldCharType="begin"/>
      </w:r>
      <w:r w:rsidR="00787AA0">
        <w:instrText xml:space="preserve"> REF _Ref16853229 \r \h </w:instrText>
      </w:r>
      <w:r w:rsidR="00787AA0">
        <w:fldChar w:fldCharType="separate"/>
      </w:r>
      <w:r w:rsidR="00787AA0">
        <w:t>[2]</w:t>
      </w:r>
      <w:r w:rsidR="00787AA0">
        <w:fldChar w:fldCharType="end"/>
      </w:r>
      <w:r w:rsidR="00B22FC4">
        <w:t xml:space="preserve"> also encourages companies to analyse the case when non-zero/non-equal TA is applied. In fact, several companies already provide</w:t>
      </w:r>
      <w:r w:rsidR="003D42BF">
        <w:t>d</w:t>
      </w:r>
      <w:r w:rsidR="00B22FC4">
        <w:t xml:space="preserve"> preliminary view on potential solutions and how they can be accomplished </w:t>
      </w:r>
      <w:r w:rsidR="00B22FC4">
        <w:fldChar w:fldCharType="begin"/>
      </w:r>
      <w:r w:rsidR="00B22FC4">
        <w:instrText xml:space="preserve"> REF _Ref16599277 \r \h </w:instrText>
      </w:r>
      <w:r w:rsidR="00B22FC4">
        <w:fldChar w:fldCharType="separate"/>
      </w:r>
      <w:r w:rsidR="00A122EC">
        <w:t>[3]</w:t>
      </w:r>
      <w:r w:rsidR="00B22FC4">
        <w:fldChar w:fldCharType="end"/>
      </w:r>
      <w:r w:rsidR="00B22FC4">
        <w:fldChar w:fldCharType="begin"/>
      </w:r>
      <w:r w:rsidR="00B22FC4">
        <w:instrText xml:space="preserve"> REF _Ref16599291 \r \h </w:instrText>
      </w:r>
      <w:r w:rsidR="00B22FC4">
        <w:fldChar w:fldCharType="separate"/>
      </w:r>
      <w:r w:rsidR="00A122EC">
        <w:t>[5]</w:t>
      </w:r>
      <w:r w:rsidR="00B22FC4">
        <w:fldChar w:fldCharType="end"/>
      </w:r>
      <w:r w:rsidR="00B22FC4">
        <w:t>.</w:t>
      </w:r>
    </w:p>
    <w:p w14:paraId="56BADCF9" w14:textId="6F15A964" w:rsidR="00B22FC4" w:rsidRDefault="00B22FC4" w:rsidP="00E72324">
      <w:r>
        <w:t xml:space="preserve">Before delving </w:t>
      </w:r>
      <w:r w:rsidR="003D42BF">
        <w:t xml:space="preserve">into the details of solutions presented in </w:t>
      </w:r>
      <w:r w:rsidR="003D42BF">
        <w:fldChar w:fldCharType="begin"/>
      </w:r>
      <w:r w:rsidR="003D42BF">
        <w:instrText xml:space="preserve"> REF _Ref16599277 \r \h </w:instrText>
      </w:r>
      <w:r w:rsidR="003D42BF">
        <w:fldChar w:fldCharType="separate"/>
      </w:r>
      <w:r w:rsidR="00A122EC">
        <w:t>[3]</w:t>
      </w:r>
      <w:r w:rsidR="003D42BF">
        <w:fldChar w:fldCharType="end"/>
      </w:r>
      <w:r w:rsidR="003D42BF">
        <w:t xml:space="preserve"> and </w:t>
      </w:r>
      <w:r w:rsidR="003D42BF">
        <w:fldChar w:fldCharType="begin"/>
      </w:r>
      <w:r w:rsidR="003D42BF">
        <w:instrText xml:space="preserve"> REF _Ref16599291 \r \h </w:instrText>
      </w:r>
      <w:r w:rsidR="003D42BF">
        <w:fldChar w:fldCharType="separate"/>
      </w:r>
      <w:r w:rsidR="00A122EC">
        <w:t>[5]</w:t>
      </w:r>
      <w:r w:rsidR="003D42BF">
        <w:fldChar w:fldCharType="end"/>
      </w:r>
      <w:r w:rsidR="003D42BF">
        <w:t xml:space="preserve">, it is worth discussing in which cases non-equal/non-equal TA might be useful. Firstly, quite many NR bands are TDD, and in fact FR2 has only TDD bands defined. Accounting for the fact that TDD networks have to be synchronized and that FR2 inter-site distance is anticipated to be quite small, both zero TA and current TA options should </w:t>
      </w:r>
      <w:r w:rsidR="00787AA0">
        <w:t>in principle</w:t>
      </w:r>
      <w:r w:rsidR="003D42BF">
        <w:t xml:space="preserve"> suffice. Furthermore, one could even argue that in dense FR1 and FR2 deployments zero and current TA options might yield almost the same result. </w:t>
      </w:r>
      <w:r w:rsidR="003F7D4B">
        <w:t xml:space="preserve">There are of course also FDD bands defined for NR, which will be used as the "coverage" frequencies and for which there is no functional requirement to have synchronized base stations. Nevertheless, trying to apply advanced TA estimation methods to enable RACH-less feature for low-frequency non-synchronized FDD networks might have much bigger system implications than just TA estimation accuracy. </w:t>
      </w:r>
      <w:r w:rsidR="0063420C">
        <w:t xml:space="preserve">And if low-frequency NR FDD networks are synchronized, then current TA should work for the same reasons as it does for RACH-less in the LTE FDD bands.  </w:t>
      </w:r>
    </w:p>
    <w:p w14:paraId="17F0853E" w14:textId="6EDA1FB4" w:rsidR="005E28D9" w:rsidRDefault="005E28D9" w:rsidP="005E28D9">
      <w:pPr>
        <w:pStyle w:val="Proposal"/>
      </w:pPr>
      <w:bookmarkStart w:id="3" w:name="_Toc16585848"/>
      <w:bookmarkStart w:id="4" w:name="_Toc16604578"/>
      <w:bookmarkStart w:id="5" w:name="_Toc16608148"/>
      <w:bookmarkStart w:id="6" w:name="_Toc16853160"/>
      <w:r>
        <w:t>Proposal 1a:</w:t>
      </w:r>
      <w:r>
        <w:tab/>
        <w:t>"Zero TA" and "current TA" are the</w:t>
      </w:r>
      <w:r w:rsidR="0016425D">
        <w:t xml:space="preserve"> baseline options for the RACH-less feature in NR</w:t>
      </w:r>
      <w:r w:rsidRPr="003E7753">
        <w:t>.</w:t>
      </w:r>
      <w:bookmarkEnd w:id="3"/>
      <w:bookmarkEnd w:id="4"/>
      <w:bookmarkEnd w:id="5"/>
      <w:bookmarkEnd w:id="6"/>
      <w:r w:rsidRPr="003E7753">
        <w:t xml:space="preserve"> </w:t>
      </w:r>
    </w:p>
    <w:p w14:paraId="1B363C7E" w14:textId="07E0A42A" w:rsidR="00BC6E66" w:rsidRDefault="005D4F5A" w:rsidP="005D4F5A">
      <w:r>
        <w:t>Referring further to the details of the TA estimation techniques, one can classify them into network</w:t>
      </w:r>
      <w:r w:rsidR="00BC6E66">
        <w:t>-</w:t>
      </w:r>
      <w:r>
        <w:t xml:space="preserve"> and UE</w:t>
      </w:r>
      <w:r w:rsidR="00BC6E66">
        <w:t>-</w:t>
      </w:r>
      <w:r>
        <w:t xml:space="preserve">based TA estimations. The premise idea behind the network-based TA estimations is that a UE is configured with a special reference signal, e.g. SRS, so that the network can estimate time difference as perceived by the source and target cells. Even though this method is relatively easy for the UE implementation, it will introduce a number of additional steps and delays into the handover procedure, so it is not entirely clear whether there will be any gains. As a simple example, </w:t>
      </w:r>
      <w:r w:rsidR="00B74630">
        <w:t xml:space="preserve">once the source cell decides to execute handover, it will send the handover request message to </w:t>
      </w:r>
      <w:r>
        <w:t>the target</w:t>
      </w:r>
      <w:r w:rsidR="00B74630">
        <w:t>,</w:t>
      </w:r>
      <w:r>
        <w:t xml:space="preserve"> </w:t>
      </w:r>
      <w:r w:rsidR="00B74630">
        <w:t>which in principle can</w:t>
      </w:r>
      <w:r>
        <w:t xml:space="preserve"> </w:t>
      </w:r>
      <w:r w:rsidR="00B74630">
        <w:t xml:space="preserve">immediately </w:t>
      </w:r>
      <w:r>
        <w:t xml:space="preserve">allocate the corresponding SRS resources that </w:t>
      </w:r>
      <w:r w:rsidR="00B74630">
        <w:t xml:space="preserve">in turn </w:t>
      </w:r>
      <w:r>
        <w:t>can be signalled to the UE</w:t>
      </w:r>
      <w:r w:rsidR="00B74630">
        <w:t xml:space="preserve"> in the handover command message. However, instead of executing handover a UE will start SRS transmission to the target </w:t>
      </w:r>
      <w:r w:rsidR="00B74630">
        <w:lastRenderedPageBreak/>
        <w:t>cell, which will not only delay the handover procedure, but will also compromise the link to the source cell as it is not likely to assume that SRS transmission will be possible to both source and target</w:t>
      </w:r>
      <w:r w:rsidR="00787AA0">
        <w:t xml:space="preserve"> cells</w:t>
      </w:r>
      <w:r w:rsidR="00B74630">
        <w:t>.</w:t>
      </w:r>
      <w:r>
        <w:t xml:space="preserve"> </w:t>
      </w:r>
    </w:p>
    <w:p w14:paraId="40FF3493" w14:textId="4C529784" w:rsidR="005D4F5A" w:rsidRDefault="00BC6E66" w:rsidP="005D4F5A">
      <w:r>
        <w:t xml:space="preserve">As for the UE-based TA estimation, </w:t>
      </w:r>
      <w:r w:rsidRPr="00BC6E66">
        <w:t>wide</w:t>
      </w:r>
      <w:r>
        <w:t xml:space="preserve"> bandwidth</w:t>
      </w:r>
      <w:r w:rsidRPr="00BC6E66">
        <w:t xml:space="preserve"> DL reference signals</w:t>
      </w:r>
      <w:r>
        <w:t>,</w:t>
      </w:r>
      <w:r w:rsidRPr="00BC6E66">
        <w:t xml:space="preserve"> e.g., CSI-RS</w:t>
      </w:r>
      <w:r>
        <w:t xml:space="preserve">, can be configured at the target cell. However, as CSI-RS measurement of neighbouring cells is not a mandatory feature for the network, the same problem as with network-based TA estimation persists. The target cell can in principle allocate CSI-RS resources upon reception of the handover request messages from the source, but a UE will resort for spending more time on measuring the target cell instead of executing the actual handover procedure. </w:t>
      </w:r>
    </w:p>
    <w:p w14:paraId="62E40CE0" w14:textId="25E493D1" w:rsidR="005E69AE" w:rsidRDefault="005E28D9" w:rsidP="0016425D">
      <w:pPr>
        <w:pStyle w:val="Proposal"/>
      </w:pPr>
      <w:bookmarkStart w:id="7" w:name="_Toc16585849"/>
      <w:bookmarkStart w:id="8" w:name="_Toc16604579"/>
      <w:bookmarkStart w:id="9" w:name="_Toc16608149"/>
      <w:bookmarkStart w:id="10" w:name="_Toc16853161"/>
      <w:r>
        <w:t>Proposal 1b:</w:t>
      </w:r>
      <w:r>
        <w:tab/>
      </w:r>
      <w:r w:rsidR="0015771A">
        <w:t xml:space="preserve">Network- and UE-based </w:t>
      </w:r>
      <w:r w:rsidR="0016425D">
        <w:t xml:space="preserve">TA </w:t>
      </w:r>
      <w:r w:rsidR="0015771A">
        <w:t>estimation methods</w:t>
      </w:r>
      <w:r w:rsidR="005D4F5A">
        <w:t xml:space="preserve"> </w:t>
      </w:r>
      <w:r w:rsidR="0016425D">
        <w:t xml:space="preserve">need </w:t>
      </w:r>
      <w:r w:rsidR="0063420C">
        <w:t xml:space="preserve">overall system </w:t>
      </w:r>
      <w:r w:rsidR="0016425D">
        <w:t xml:space="preserve">analysis and </w:t>
      </w:r>
      <w:r w:rsidR="0063420C">
        <w:t xml:space="preserve">further </w:t>
      </w:r>
      <w:r w:rsidR="0016425D">
        <w:t>input from RAN WG2</w:t>
      </w:r>
      <w:r w:rsidR="005D4F5A">
        <w:t xml:space="preserve"> and WG3</w:t>
      </w:r>
      <w:r w:rsidR="0063420C">
        <w:t>.</w:t>
      </w:r>
      <w:bookmarkEnd w:id="7"/>
      <w:bookmarkEnd w:id="8"/>
      <w:bookmarkEnd w:id="9"/>
      <w:bookmarkEnd w:id="10"/>
      <w:r w:rsidRPr="003E7753">
        <w:t xml:space="preserve">  </w:t>
      </w:r>
    </w:p>
    <w:p w14:paraId="61CEE99B" w14:textId="065A2A07" w:rsidR="008E7986" w:rsidRDefault="008E7986" w:rsidP="008E7986">
      <w:pPr>
        <w:pStyle w:val="Heading2"/>
      </w:pPr>
      <w:r>
        <w:t>2.2</w:t>
      </w:r>
      <w:r>
        <w:tab/>
      </w:r>
      <w:r w:rsidR="0016425D">
        <w:t>Beam specific aspects for FR2</w:t>
      </w:r>
    </w:p>
    <w:p w14:paraId="641EC49C" w14:textId="7EC539B3" w:rsidR="00123684" w:rsidRDefault="00CA3F47" w:rsidP="00E72324">
      <w:r>
        <w:t>Another important aspect of the RACH-less feature is how the target allocates the UL grant so that a UE can send the handover complete RRC message</w:t>
      </w:r>
      <w:r w:rsidR="00E72324">
        <w:t>.</w:t>
      </w:r>
      <w:r>
        <w:t xml:space="preserve"> In case of LTE, the UL grant can be either pre-allocated or signalled dynamically via PDCCH, but regardless of the way it is conveyed for the UE the latter just uses the UL grant it has. And the same logical principle can be also assumed for NR FR1. However, the overall framework becomes more complex in NR FR2 due to the beam management aspects</w:t>
      </w:r>
      <w:r w:rsidR="00123684">
        <w:t>, as already presented in</w:t>
      </w:r>
      <w:r w:rsidR="00787AA0">
        <w:t xml:space="preserve"> </w:t>
      </w:r>
      <w:r w:rsidR="00787AA0">
        <w:fldChar w:fldCharType="begin"/>
      </w:r>
      <w:r w:rsidR="00787AA0">
        <w:instrText xml:space="preserve"> REF _Ref16599277 \r \h </w:instrText>
      </w:r>
      <w:r w:rsidR="00787AA0">
        <w:fldChar w:fldCharType="separate"/>
      </w:r>
      <w:r w:rsidR="00787AA0">
        <w:t>[3]</w:t>
      </w:r>
      <w:r w:rsidR="00787AA0">
        <w:fldChar w:fldCharType="end"/>
      </w:r>
      <w:r w:rsidR="00787AA0">
        <w:t xml:space="preserve"> and</w:t>
      </w:r>
      <w:r w:rsidR="00123684">
        <w:t xml:space="preserve"> </w:t>
      </w:r>
      <w:r w:rsidR="00123684">
        <w:fldChar w:fldCharType="begin"/>
      </w:r>
      <w:r w:rsidR="00123684">
        <w:instrText xml:space="preserve"> REF _Ref16605102 \r \h </w:instrText>
      </w:r>
      <w:r w:rsidR="00123684">
        <w:fldChar w:fldCharType="separate"/>
      </w:r>
      <w:r w:rsidR="00A122EC">
        <w:t>[4]</w:t>
      </w:r>
      <w:r w:rsidR="00123684">
        <w:fldChar w:fldCharType="end"/>
      </w:r>
      <w:r w:rsidR="00787AA0">
        <w:t xml:space="preserve"> </w:t>
      </w:r>
      <w:r>
        <w:t xml:space="preserve">. </w:t>
      </w:r>
    </w:p>
    <w:p w14:paraId="56EB607E" w14:textId="612CBC42" w:rsidR="00123684" w:rsidRDefault="00123684" w:rsidP="00E72324">
      <w:r>
        <w:t xml:space="preserve">In the normal handover scenario, regardless of the best beam information signalled to the source cell in the measurement report, a UE would anyway measure target cell SSB and select the corresponding RACH resource. In other words, even though a UE may initially report target cell beam#1 as the best one, there is no issue if beam#2 becomes the strongest one by the time when a UE actually camps on the target cell. As for the RACH-less feature, </w:t>
      </w:r>
      <w:r w:rsidR="00787AA0">
        <w:t xml:space="preserve">in absence of the RACH phase, the target cell has no information about the beast beam as perceived by the UE, and </w:t>
      </w:r>
      <w:r>
        <w:t xml:space="preserve">the only information that the target cell </w:t>
      </w:r>
      <w:r w:rsidR="00787AA0">
        <w:t>might have</w:t>
      </w:r>
      <w:r>
        <w:t xml:space="preserve"> is what a UE reports before handover</w:t>
      </w:r>
      <w:r w:rsidR="00787AA0">
        <w:t>.</w:t>
      </w:r>
      <w:r>
        <w:t xml:space="preserve"> </w:t>
      </w:r>
      <w:r w:rsidR="00787AA0">
        <w:t>T</w:t>
      </w:r>
      <w:r>
        <w:t>hus</w:t>
      </w:r>
      <w:r w:rsidR="00787AA0">
        <w:t>,</w:t>
      </w:r>
      <w:r>
        <w:t xml:space="preserve"> the (per-)allocated UL grant will be logically associated with the corresponding </w:t>
      </w:r>
      <w:r w:rsidR="00787AA0">
        <w:t xml:space="preserve">beast </w:t>
      </w:r>
      <w:r>
        <w:t>beam</w:t>
      </w:r>
      <w:r w:rsidR="00787AA0">
        <w:t>(s) unless of the course UL grants are pre-allocated at all the directions</w:t>
      </w:r>
      <w:r>
        <w:t>. Should be the strongest beam change as perceived by the UE, it is not so clear what the overall system behaviour should be.</w:t>
      </w:r>
    </w:p>
    <w:p w14:paraId="52632D74" w14:textId="4651EF47" w:rsidR="00123684" w:rsidRDefault="00123684" w:rsidP="00E72324">
      <w:r>
        <w:t xml:space="preserve">In the simplest case, it is </w:t>
      </w:r>
      <w:r w:rsidR="00D65E67">
        <w:t>practical</w:t>
      </w:r>
      <w:r>
        <w:t xml:space="preserve"> to consider a solution when a UE just fallbacks to the legacy RACH procedure if it detects that the best beam measured in the target cell after handover does not correspond to the allocated UL grant. </w:t>
      </w:r>
      <w:r w:rsidR="00650A56">
        <w:t>Indeed, if the network just allocates one UL grant for the best beam based on the information in the measurement report, then the safest option would to fallback</w:t>
      </w:r>
      <w:r w:rsidR="0046275E">
        <w:t>.</w:t>
      </w:r>
      <w:r w:rsidR="00650A56">
        <w:t xml:space="preserve"> </w:t>
      </w:r>
      <w:r w:rsidR="0046275E">
        <w:t>O</w:t>
      </w:r>
      <w:r w:rsidR="00650A56">
        <w:t>therwise</w:t>
      </w:r>
      <w:r w:rsidR="0046275E">
        <w:t>,</w:t>
      </w:r>
      <w:r w:rsidR="00650A56">
        <w:t xml:space="preserve"> all the UL transmissions </w:t>
      </w:r>
      <w:bookmarkStart w:id="11" w:name="_GoBack"/>
      <w:bookmarkEnd w:id="11"/>
      <w:r w:rsidR="00650A56">
        <w:t xml:space="preserve">might </w:t>
      </w:r>
      <w:r w:rsidR="00787AA0">
        <w:t xml:space="preserve">continuously </w:t>
      </w:r>
      <w:r w:rsidR="00650A56">
        <w:t>fail</w:t>
      </w:r>
      <w:r w:rsidR="00787AA0">
        <w:t xml:space="preserve"> leading to the expiry of the RRC T</w:t>
      </w:r>
      <w:r w:rsidR="0046275E">
        <w:t>304</w:t>
      </w:r>
      <w:r w:rsidR="00787AA0">
        <w:t xml:space="preserve"> timer</w:t>
      </w:r>
      <w:r w:rsidR="0046275E">
        <w:t>, after which the re-establishment procedure will be initiated</w:t>
      </w:r>
      <w:r w:rsidR="00650A56">
        <w:t>.</w:t>
      </w:r>
    </w:p>
    <w:p w14:paraId="59A8C0A4" w14:textId="55110425" w:rsidR="00123684" w:rsidRDefault="00123684" w:rsidP="00123684">
      <w:pPr>
        <w:pStyle w:val="Proposal"/>
      </w:pPr>
      <w:bookmarkStart w:id="12" w:name="_Toc16608150"/>
      <w:bookmarkStart w:id="13" w:name="_Toc16853162"/>
      <w:r>
        <w:t>Proposal 2a:</w:t>
      </w:r>
      <w:r>
        <w:tab/>
        <w:t>A UE can fall-back to the legacy RACH</w:t>
      </w:r>
      <w:r w:rsidR="00D65E67">
        <w:t xml:space="preserve"> </w:t>
      </w:r>
      <w:r>
        <w:t>procedure if there is no UL grant associated with the best beam measured in the target cell after handover</w:t>
      </w:r>
      <w:r w:rsidRPr="003E7753">
        <w:t>.</w:t>
      </w:r>
      <w:bookmarkEnd w:id="12"/>
      <w:bookmarkEnd w:id="13"/>
    </w:p>
    <w:p w14:paraId="5CEE364E" w14:textId="3C052ED5" w:rsidR="00E72324" w:rsidRDefault="00D65E67" w:rsidP="00E72324">
      <w:r>
        <w:t xml:space="preserve">As mentioned in </w:t>
      </w:r>
      <w:r>
        <w:fldChar w:fldCharType="begin"/>
      </w:r>
      <w:r>
        <w:instrText xml:space="preserve"> REF _Ref16605102 \r \h </w:instrText>
      </w:r>
      <w:r>
        <w:fldChar w:fldCharType="separate"/>
      </w:r>
      <w:r w:rsidR="00A122EC">
        <w:t>[4]</w:t>
      </w:r>
      <w:r>
        <w:fldChar w:fldCharType="end"/>
      </w:r>
      <w:r>
        <w:t>, a more versatile network implementation might consider allocating more than UL grant. Even though the exact number of allocated UL grants will</w:t>
      </w:r>
      <w:r w:rsidR="00123684">
        <w:t xml:space="preserve"> </w:t>
      </w:r>
      <w:r>
        <w:t>be up to the network implementation, we do not anticipate that all the beams will have associated grants as it might cause quite a noticeable system overhead and waste of system resources. As an example, the target cell may allocate UL grants associated with e.g. first, second and third strongest beam as reported by UE following the assumption that if the best beam changes after handover, then most likely it will be the second or the third strongest beam.</w:t>
      </w:r>
      <w:r w:rsidR="00CA3F47">
        <w:t xml:space="preserve"> </w:t>
      </w:r>
      <w:r>
        <w:t xml:space="preserve">From the UE implementation perspective, the same principle as in Proposal 2a can be followed: either a UE selects the UL grant associated with the best beam or just fall-backs to the legacy RACH procedure. </w:t>
      </w:r>
      <w:r w:rsidR="00CA3F47">
        <w:t xml:space="preserve">   </w:t>
      </w:r>
      <w:r w:rsidR="00E72324" w:rsidRPr="00E72324">
        <w:t xml:space="preserve"> </w:t>
      </w:r>
    </w:p>
    <w:p w14:paraId="00F2FBAC" w14:textId="77777777" w:rsidR="00D65E67" w:rsidRDefault="0016425D" w:rsidP="0016425D">
      <w:pPr>
        <w:pStyle w:val="Proposal"/>
      </w:pPr>
      <w:bookmarkStart w:id="14" w:name="_Toc16604580"/>
      <w:bookmarkStart w:id="15" w:name="_Toc16608151"/>
      <w:bookmarkStart w:id="16" w:name="_Toc16853163"/>
      <w:r>
        <w:t>Proposal 2</w:t>
      </w:r>
      <w:r w:rsidR="00D65E67">
        <w:t>b</w:t>
      </w:r>
      <w:r>
        <w:t>:</w:t>
      </w:r>
      <w:r>
        <w:tab/>
        <w:t>The network may allocate more than one UL grant associated with different SSBs (the exact number is up to the network implementation)</w:t>
      </w:r>
      <w:r w:rsidRPr="003E7753">
        <w:t>.</w:t>
      </w:r>
      <w:bookmarkEnd w:id="14"/>
      <w:bookmarkEnd w:id="15"/>
      <w:bookmarkEnd w:id="16"/>
    </w:p>
    <w:p w14:paraId="7BA09884" w14:textId="680E1B98" w:rsidR="0016425D" w:rsidRDefault="00D65E67" w:rsidP="0016425D">
      <w:pPr>
        <w:pStyle w:val="Proposal"/>
      </w:pPr>
      <w:bookmarkStart w:id="17" w:name="_Toc16608152"/>
      <w:bookmarkStart w:id="18" w:name="_Toc16853164"/>
      <w:r>
        <w:t>Proposal 2c:</w:t>
      </w:r>
      <w:r>
        <w:tab/>
        <w:t>If there is UL grant associated with the best beam, a UE will choose it; and otherwise will fall-back to the legacy RACH procedure.</w:t>
      </w:r>
      <w:bookmarkEnd w:id="17"/>
      <w:bookmarkEnd w:id="18"/>
      <w:r>
        <w:t xml:space="preserve"> </w:t>
      </w:r>
      <w:r w:rsidR="0016425D" w:rsidRPr="003E7753">
        <w:t xml:space="preserve"> </w:t>
      </w:r>
    </w:p>
    <w:p w14:paraId="00459321" w14:textId="11285FF4" w:rsidR="00BB671F" w:rsidRDefault="00BB671F" w:rsidP="00BB671F">
      <w:r>
        <w:t xml:space="preserve">As a more advanced optimization, RAN WG4 can contemplate an approach when a UE is still allowed to select the UL grant associated with the non-best beam provided that the corresponding beam and the best beam performance difference is within certain </w:t>
      </w:r>
      <w:r w:rsidR="001F55B7">
        <w:t xml:space="preserve">performance </w:t>
      </w:r>
      <w:r>
        <w:t>limits. The rationale behind this approach is that if the network has e.g. 32 beams, then it might be sufficient to allocate UL grants associated with e.g. first and the third best beams. If after handover the second beam becomes the best one, then a UE can use UL grant associated with either the first or the third beam depending on measured beam quality.</w:t>
      </w:r>
    </w:p>
    <w:p w14:paraId="5B080148" w14:textId="54E9724C" w:rsidR="0016425D" w:rsidRDefault="0016425D" w:rsidP="0016425D">
      <w:pPr>
        <w:pStyle w:val="Proposal"/>
      </w:pPr>
      <w:bookmarkStart w:id="19" w:name="_Toc16604582"/>
      <w:bookmarkStart w:id="20" w:name="_Toc16608153"/>
      <w:bookmarkStart w:id="21" w:name="_Toc16853165"/>
      <w:r>
        <w:t>Proposal 2</w:t>
      </w:r>
      <w:r w:rsidR="00D65E67">
        <w:t>d</w:t>
      </w:r>
      <w:r>
        <w:t>:</w:t>
      </w:r>
      <w:r>
        <w:tab/>
        <w:t xml:space="preserve">RAN WG4 can investigate further whether a UE can use the UL grant associated with e.g. the second or third strongest </w:t>
      </w:r>
      <w:r w:rsidR="00212A5E">
        <w:t>beam</w:t>
      </w:r>
      <w:r>
        <w:t>.</w:t>
      </w:r>
      <w:bookmarkEnd w:id="19"/>
      <w:bookmarkEnd w:id="20"/>
      <w:bookmarkEnd w:id="21"/>
      <w:r w:rsidRPr="003E7753">
        <w:t xml:space="preserve">  </w:t>
      </w:r>
    </w:p>
    <w:p w14:paraId="62E2E073" w14:textId="77777777" w:rsidR="008E7986" w:rsidRDefault="008E7986" w:rsidP="008E7986"/>
    <w:p w14:paraId="34C99636" w14:textId="77777777" w:rsidR="008E7986" w:rsidRDefault="008E7986" w:rsidP="008E7986">
      <w:pPr>
        <w:pStyle w:val="Heading1"/>
      </w:pPr>
      <w:r>
        <w:t>3</w:t>
      </w:r>
      <w:r>
        <w:tab/>
        <w:t>Conclusions</w:t>
      </w:r>
    </w:p>
    <w:p w14:paraId="001A58A1" w14:textId="586466D0" w:rsidR="00E72324" w:rsidRDefault="00D47BC8" w:rsidP="00E72324">
      <w:r>
        <w:t xml:space="preserve">In this discussion paper we have presented our further considerations the timing adjustment and beam related aspects for the RACH-less handover in the NR networks. In short, our view is that "zero TA" and "current/equal TA" are good baseline options for NR synchronized networks, which will be the case for TDD bands. Further enhancements in the TA estimation technique are likely to involve further interactions between the source and target cells, which will not necessarily decrease the overall handover time.  </w:t>
      </w:r>
      <w:r w:rsidR="00C9162E">
        <w:t xml:space="preserve">As for the FR2 beam related aspects, our view is that if a UE </w:t>
      </w:r>
      <w:r w:rsidR="00E72324" w:rsidRPr="00E72324">
        <w:t xml:space="preserve"> </w:t>
      </w:r>
    </w:p>
    <w:p w14:paraId="5871738D" w14:textId="77777777" w:rsidR="00A122EC"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A122EC">
        <w:rPr>
          <w:noProof/>
        </w:rPr>
        <w:t>Proposal 1a:</w:t>
      </w:r>
      <w:r w:rsidR="00A122EC">
        <w:rPr>
          <w:rFonts w:asciiTheme="minorHAnsi" w:eastAsiaTheme="minorEastAsia" w:hAnsiTheme="minorHAnsi" w:cstheme="minorBidi"/>
          <w:b w:val="0"/>
          <w:bCs w:val="0"/>
          <w:noProof/>
          <w:sz w:val="24"/>
          <w:szCs w:val="24"/>
          <w:lang w:val="de-DE" w:eastAsia="en-GB"/>
        </w:rPr>
        <w:tab/>
      </w:r>
      <w:r w:rsidR="00A122EC">
        <w:rPr>
          <w:noProof/>
        </w:rPr>
        <w:t>"Zero TA" and "current TA" are the baseline options for the RACH-less feature in NR.</w:t>
      </w:r>
    </w:p>
    <w:p w14:paraId="136AC07E" w14:textId="77777777" w:rsidR="00A122EC" w:rsidRDefault="00A122EC">
      <w:pPr>
        <w:pStyle w:val="TOC1"/>
        <w:rPr>
          <w:rFonts w:asciiTheme="minorHAnsi" w:eastAsiaTheme="minorEastAsia" w:hAnsiTheme="minorHAnsi" w:cstheme="minorBidi"/>
          <w:b w:val="0"/>
          <w:bCs w:val="0"/>
          <w:noProof/>
          <w:sz w:val="24"/>
          <w:szCs w:val="24"/>
          <w:lang w:val="de-DE" w:eastAsia="en-GB"/>
        </w:rPr>
      </w:pPr>
      <w:r>
        <w:rPr>
          <w:noProof/>
        </w:rPr>
        <w:t>Proposal 1b:</w:t>
      </w:r>
      <w:r>
        <w:rPr>
          <w:rFonts w:asciiTheme="minorHAnsi" w:eastAsiaTheme="minorEastAsia" w:hAnsiTheme="minorHAnsi" w:cstheme="minorBidi"/>
          <w:b w:val="0"/>
          <w:bCs w:val="0"/>
          <w:noProof/>
          <w:sz w:val="24"/>
          <w:szCs w:val="24"/>
          <w:lang w:val="de-DE" w:eastAsia="en-GB"/>
        </w:rPr>
        <w:tab/>
      </w:r>
      <w:r>
        <w:rPr>
          <w:noProof/>
        </w:rPr>
        <w:t>Network- and UE-based TA estimation methods need overall system analysis and further input from RAN WG2 and WG3.</w:t>
      </w:r>
    </w:p>
    <w:p w14:paraId="01675434" w14:textId="77777777" w:rsidR="00A122EC" w:rsidRDefault="00A122EC">
      <w:pPr>
        <w:pStyle w:val="TOC1"/>
        <w:rPr>
          <w:rFonts w:asciiTheme="minorHAnsi" w:eastAsiaTheme="minorEastAsia" w:hAnsiTheme="minorHAnsi" w:cstheme="minorBidi"/>
          <w:b w:val="0"/>
          <w:bCs w:val="0"/>
          <w:noProof/>
          <w:sz w:val="24"/>
          <w:szCs w:val="24"/>
          <w:lang w:val="de-DE" w:eastAsia="en-GB"/>
        </w:rPr>
      </w:pPr>
      <w:r>
        <w:rPr>
          <w:noProof/>
        </w:rPr>
        <w:t>Proposal 2a:</w:t>
      </w:r>
      <w:r>
        <w:rPr>
          <w:rFonts w:asciiTheme="minorHAnsi" w:eastAsiaTheme="minorEastAsia" w:hAnsiTheme="minorHAnsi" w:cstheme="minorBidi"/>
          <w:b w:val="0"/>
          <w:bCs w:val="0"/>
          <w:noProof/>
          <w:sz w:val="24"/>
          <w:szCs w:val="24"/>
          <w:lang w:val="de-DE" w:eastAsia="en-GB"/>
        </w:rPr>
        <w:tab/>
      </w:r>
      <w:r>
        <w:rPr>
          <w:noProof/>
        </w:rPr>
        <w:t>A UE can fall-back to the legacy RACH procedure if there is no UL grant associated with the best beam measured in the target cell after handover.</w:t>
      </w:r>
    </w:p>
    <w:p w14:paraId="74160BBB" w14:textId="77777777" w:rsidR="00A122EC" w:rsidRDefault="00A122EC">
      <w:pPr>
        <w:pStyle w:val="TOC1"/>
        <w:rPr>
          <w:rFonts w:asciiTheme="minorHAnsi" w:eastAsiaTheme="minorEastAsia" w:hAnsiTheme="minorHAnsi" w:cstheme="minorBidi"/>
          <w:b w:val="0"/>
          <w:bCs w:val="0"/>
          <w:noProof/>
          <w:sz w:val="24"/>
          <w:szCs w:val="24"/>
          <w:lang w:val="de-DE" w:eastAsia="en-GB"/>
        </w:rPr>
      </w:pPr>
      <w:r>
        <w:rPr>
          <w:noProof/>
        </w:rPr>
        <w:t>Proposal 2b:</w:t>
      </w:r>
      <w:r>
        <w:rPr>
          <w:rFonts w:asciiTheme="minorHAnsi" w:eastAsiaTheme="minorEastAsia" w:hAnsiTheme="minorHAnsi" w:cstheme="minorBidi"/>
          <w:b w:val="0"/>
          <w:bCs w:val="0"/>
          <w:noProof/>
          <w:sz w:val="24"/>
          <w:szCs w:val="24"/>
          <w:lang w:val="de-DE" w:eastAsia="en-GB"/>
        </w:rPr>
        <w:tab/>
      </w:r>
      <w:r>
        <w:rPr>
          <w:noProof/>
        </w:rPr>
        <w:t>The network may allocate more than one UL grant associated with different SSBs (the exact number is up to the network implementation).</w:t>
      </w:r>
    </w:p>
    <w:p w14:paraId="0CCCF1A9" w14:textId="77777777" w:rsidR="00A122EC" w:rsidRDefault="00A122EC">
      <w:pPr>
        <w:pStyle w:val="TOC1"/>
        <w:rPr>
          <w:rFonts w:asciiTheme="minorHAnsi" w:eastAsiaTheme="minorEastAsia" w:hAnsiTheme="minorHAnsi" w:cstheme="minorBidi"/>
          <w:b w:val="0"/>
          <w:bCs w:val="0"/>
          <w:noProof/>
          <w:sz w:val="24"/>
          <w:szCs w:val="24"/>
          <w:lang w:val="de-DE" w:eastAsia="en-GB"/>
        </w:rPr>
      </w:pPr>
      <w:r>
        <w:rPr>
          <w:noProof/>
        </w:rPr>
        <w:t>Proposal 2c:</w:t>
      </w:r>
      <w:r>
        <w:rPr>
          <w:rFonts w:asciiTheme="minorHAnsi" w:eastAsiaTheme="minorEastAsia" w:hAnsiTheme="minorHAnsi" w:cstheme="minorBidi"/>
          <w:b w:val="0"/>
          <w:bCs w:val="0"/>
          <w:noProof/>
          <w:sz w:val="24"/>
          <w:szCs w:val="24"/>
          <w:lang w:val="de-DE" w:eastAsia="en-GB"/>
        </w:rPr>
        <w:tab/>
      </w:r>
      <w:r>
        <w:rPr>
          <w:noProof/>
        </w:rPr>
        <w:t>If there is UL grant associated with the best beam, a UE will choose it; and otherwise will fall-back to the legacy RACH procedure.</w:t>
      </w:r>
    </w:p>
    <w:p w14:paraId="2D5F8EA0" w14:textId="77777777" w:rsidR="00A122EC" w:rsidRDefault="00A122EC">
      <w:pPr>
        <w:pStyle w:val="TOC1"/>
        <w:rPr>
          <w:rFonts w:asciiTheme="minorHAnsi" w:eastAsiaTheme="minorEastAsia" w:hAnsiTheme="minorHAnsi" w:cstheme="minorBidi"/>
          <w:b w:val="0"/>
          <w:bCs w:val="0"/>
          <w:noProof/>
          <w:sz w:val="24"/>
          <w:szCs w:val="24"/>
          <w:lang w:val="de-DE" w:eastAsia="en-GB"/>
        </w:rPr>
      </w:pPr>
      <w:r>
        <w:rPr>
          <w:noProof/>
        </w:rPr>
        <w:t>Proposal 2d:</w:t>
      </w:r>
      <w:r>
        <w:rPr>
          <w:rFonts w:asciiTheme="minorHAnsi" w:eastAsiaTheme="minorEastAsia" w:hAnsiTheme="minorHAnsi" w:cstheme="minorBidi"/>
          <w:b w:val="0"/>
          <w:bCs w:val="0"/>
          <w:noProof/>
          <w:sz w:val="24"/>
          <w:szCs w:val="24"/>
          <w:lang w:val="de-DE" w:eastAsia="en-GB"/>
        </w:rPr>
        <w:tab/>
      </w:r>
      <w:r>
        <w:rPr>
          <w:noProof/>
        </w:rPr>
        <w:t>RAN WG4 can investigate further whether a UE can use the UL grant associated with e.g. the second or third strongest beam.</w:t>
      </w:r>
    </w:p>
    <w:p w14:paraId="0DA01C95" w14:textId="4B5A0B54" w:rsidR="0062595A" w:rsidRDefault="0062595A" w:rsidP="00E72324">
      <w:r>
        <w:rPr>
          <w:b/>
          <w:bCs/>
        </w:rPr>
        <w:fldChar w:fldCharType="end"/>
      </w:r>
    </w:p>
    <w:p w14:paraId="769CC3B8" w14:textId="77777777" w:rsidR="0062595A" w:rsidRDefault="0062595A" w:rsidP="00E72324"/>
    <w:p w14:paraId="05CC6F0A" w14:textId="2A84C5EC" w:rsidR="005E69AE" w:rsidRDefault="005E69AE" w:rsidP="0062595A">
      <w:pPr>
        <w:spacing w:after="0"/>
      </w:pPr>
    </w:p>
    <w:p w14:paraId="4D133CD8" w14:textId="65A47436" w:rsidR="00276EE4" w:rsidRPr="003A0483" w:rsidRDefault="005E69AE" w:rsidP="0016425D">
      <w:pPr>
        <w:pStyle w:val="Heading1"/>
      </w:pPr>
      <w:r>
        <w:t>4</w:t>
      </w:r>
      <w:r>
        <w:tab/>
        <w:t>References</w:t>
      </w:r>
    </w:p>
    <w:p w14:paraId="10F9AFD8" w14:textId="1EE59DB6" w:rsidR="00A122EC" w:rsidRDefault="00A122EC" w:rsidP="00276EE4">
      <w:pPr>
        <w:pStyle w:val="EX"/>
      </w:pPr>
      <w:bookmarkStart w:id="22" w:name="_Ref16598639"/>
      <w:bookmarkStart w:id="23" w:name="_Ref13820109"/>
      <w:bookmarkStart w:id="24" w:name="_Ref16853152"/>
      <w:r w:rsidRPr="00A122EC">
        <w:t>RP-190489</w:t>
      </w:r>
      <w:r>
        <w:t>, "</w:t>
      </w:r>
      <w:r w:rsidRPr="00A122EC">
        <w:t>New WID: NR mobility enhancements</w:t>
      </w:r>
      <w:r>
        <w:t>", Intel Corp.</w:t>
      </w:r>
      <w:bookmarkEnd w:id="24"/>
      <w:r>
        <w:t xml:space="preserve"> </w:t>
      </w:r>
    </w:p>
    <w:p w14:paraId="6599C64C" w14:textId="10B4ED79" w:rsidR="007614A0" w:rsidRDefault="007614A0" w:rsidP="00276EE4">
      <w:pPr>
        <w:pStyle w:val="EX"/>
      </w:pPr>
      <w:bookmarkStart w:id="25" w:name="_Ref16853229"/>
      <w:r w:rsidRPr="007614A0">
        <w:t>R4-1907391</w:t>
      </w:r>
      <w:r>
        <w:t>, "</w:t>
      </w:r>
      <w:r w:rsidRPr="007614A0">
        <w:t>Way forward on NR mobility enhancement</w:t>
      </w:r>
      <w:r>
        <w:t>", Intel</w:t>
      </w:r>
      <w:bookmarkEnd w:id="22"/>
      <w:r w:rsidR="00A122EC">
        <w:t xml:space="preserve"> Corp.</w:t>
      </w:r>
      <w:bookmarkEnd w:id="25"/>
    </w:p>
    <w:p w14:paraId="02656AEC" w14:textId="627D33EB" w:rsidR="005E69AE" w:rsidRPr="004D3578" w:rsidRDefault="007614A0" w:rsidP="00276EE4">
      <w:pPr>
        <w:pStyle w:val="EX"/>
      </w:pPr>
      <w:bookmarkStart w:id="26" w:name="_Ref16599277"/>
      <w:r w:rsidRPr="007614A0">
        <w:t>R4-1906456</w:t>
      </w:r>
      <w:r>
        <w:t>, "</w:t>
      </w:r>
      <w:r w:rsidRPr="007614A0">
        <w:t>Non-zero/non equal TA for RACH-less HO for NR mobility enhancement</w:t>
      </w:r>
      <w:r>
        <w:t>", Ericsson</w:t>
      </w:r>
      <w:bookmarkEnd w:id="23"/>
      <w:bookmarkEnd w:id="26"/>
    </w:p>
    <w:p w14:paraId="731905A1" w14:textId="3A099264" w:rsidR="005E69AE" w:rsidRDefault="007614A0" w:rsidP="005E69AE">
      <w:pPr>
        <w:pStyle w:val="EX"/>
      </w:pPr>
      <w:bookmarkStart w:id="27" w:name="_Ref16605102"/>
      <w:r w:rsidRPr="007614A0">
        <w:t>R4-1905920</w:t>
      </w:r>
      <w:r>
        <w:t>, "</w:t>
      </w:r>
      <w:r w:rsidRPr="007614A0">
        <w:t>On applicability of RACH-less handover</w:t>
      </w:r>
      <w:r>
        <w:t>", Intel</w:t>
      </w:r>
      <w:bookmarkEnd w:id="27"/>
      <w:r w:rsidR="00A122EC">
        <w:t xml:space="preserve"> Corp.</w:t>
      </w:r>
    </w:p>
    <w:p w14:paraId="5EA5F0F8" w14:textId="34D403A5" w:rsidR="007614A0" w:rsidRDefault="007614A0" w:rsidP="005E69AE">
      <w:pPr>
        <w:pStyle w:val="EX"/>
      </w:pPr>
      <w:bookmarkStart w:id="28" w:name="_Ref16599291"/>
      <w:r w:rsidRPr="007614A0">
        <w:t>R4-1906965</w:t>
      </w:r>
      <w:r>
        <w:t>, "</w:t>
      </w:r>
      <w:r w:rsidRPr="007614A0">
        <w:t>On RACH-less HO in NR</w:t>
      </w:r>
      <w:r>
        <w:t>", Qualcomm</w:t>
      </w:r>
      <w:bookmarkEnd w:id="0"/>
      <w:bookmarkEnd w:id="28"/>
    </w:p>
    <w:p w14:paraId="45EF6CBD" w14:textId="77777777" w:rsidR="00A122EC" w:rsidRDefault="00A122EC">
      <w:pPr>
        <w:pStyle w:val="EX"/>
      </w:pPr>
    </w:p>
    <w:sectPr w:rsidR="00A122EC" w:rsidSect="002C3F12">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EC353" w14:textId="77777777" w:rsidR="005651D4" w:rsidRDefault="005651D4">
      <w:r>
        <w:separator/>
      </w:r>
    </w:p>
  </w:endnote>
  <w:endnote w:type="continuationSeparator" w:id="0">
    <w:p w14:paraId="5B1C26BB" w14:textId="77777777" w:rsidR="005651D4" w:rsidRDefault="0056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27856" w14:textId="04064630" w:rsidR="00323040" w:rsidRDefault="00323040" w:rsidP="00323040">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7F728" w14:textId="77777777" w:rsidR="005651D4" w:rsidRDefault="005651D4">
      <w:r>
        <w:separator/>
      </w:r>
    </w:p>
  </w:footnote>
  <w:footnote w:type="continuationSeparator" w:id="0">
    <w:p w14:paraId="6706F4DA" w14:textId="77777777" w:rsidR="005651D4" w:rsidRDefault="00565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C47C3"/>
    <w:rsid w:val="000D58AB"/>
    <w:rsid w:val="00104BC6"/>
    <w:rsid w:val="00123684"/>
    <w:rsid w:val="00133525"/>
    <w:rsid w:val="0015771A"/>
    <w:rsid w:val="0016425D"/>
    <w:rsid w:val="001A4C42"/>
    <w:rsid w:val="001C21C3"/>
    <w:rsid w:val="001D02C2"/>
    <w:rsid w:val="001F021C"/>
    <w:rsid w:val="001F0C1D"/>
    <w:rsid w:val="001F1132"/>
    <w:rsid w:val="001F168B"/>
    <w:rsid w:val="001F55B7"/>
    <w:rsid w:val="002014D5"/>
    <w:rsid w:val="00212A5E"/>
    <w:rsid w:val="002347A2"/>
    <w:rsid w:val="00247926"/>
    <w:rsid w:val="002675F0"/>
    <w:rsid w:val="00276EE4"/>
    <w:rsid w:val="002A2CFF"/>
    <w:rsid w:val="002B6339"/>
    <w:rsid w:val="002C3F12"/>
    <w:rsid w:val="002E00EE"/>
    <w:rsid w:val="003172DC"/>
    <w:rsid w:val="00323040"/>
    <w:rsid w:val="00332C5F"/>
    <w:rsid w:val="0035462D"/>
    <w:rsid w:val="003765B8"/>
    <w:rsid w:val="003A0483"/>
    <w:rsid w:val="003C3971"/>
    <w:rsid w:val="003C564B"/>
    <w:rsid w:val="003D42BF"/>
    <w:rsid w:val="003E7753"/>
    <w:rsid w:val="003F7D4B"/>
    <w:rsid w:val="00423334"/>
    <w:rsid w:val="004345EC"/>
    <w:rsid w:val="0046275E"/>
    <w:rsid w:val="004826A9"/>
    <w:rsid w:val="004C1601"/>
    <w:rsid w:val="004D3578"/>
    <w:rsid w:val="004E213A"/>
    <w:rsid w:val="004F0988"/>
    <w:rsid w:val="004F3340"/>
    <w:rsid w:val="004F3E3D"/>
    <w:rsid w:val="0053388B"/>
    <w:rsid w:val="00535773"/>
    <w:rsid w:val="00543E6C"/>
    <w:rsid w:val="0054458C"/>
    <w:rsid w:val="00565087"/>
    <w:rsid w:val="005651D4"/>
    <w:rsid w:val="00572E14"/>
    <w:rsid w:val="005973BE"/>
    <w:rsid w:val="005A5986"/>
    <w:rsid w:val="005D2E01"/>
    <w:rsid w:val="005D4F5A"/>
    <w:rsid w:val="005D7526"/>
    <w:rsid w:val="005E28D9"/>
    <w:rsid w:val="005E69AE"/>
    <w:rsid w:val="00602AEA"/>
    <w:rsid w:val="00607E3C"/>
    <w:rsid w:val="00614FDF"/>
    <w:rsid w:val="006246A7"/>
    <w:rsid w:val="0062595A"/>
    <w:rsid w:val="0063420C"/>
    <w:rsid w:val="0063543D"/>
    <w:rsid w:val="00647114"/>
    <w:rsid w:val="00650A56"/>
    <w:rsid w:val="006602CD"/>
    <w:rsid w:val="0068370B"/>
    <w:rsid w:val="006A323F"/>
    <w:rsid w:val="006A79EB"/>
    <w:rsid w:val="006B30D0"/>
    <w:rsid w:val="006C3D95"/>
    <w:rsid w:val="006E5C86"/>
    <w:rsid w:val="00713C44"/>
    <w:rsid w:val="00734A5B"/>
    <w:rsid w:val="0074026F"/>
    <w:rsid w:val="007429F6"/>
    <w:rsid w:val="00744E76"/>
    <w:rsid w:val="00752198"/>
    <w:rsid w:val="00753881"/>
    <w:rsid w:val="007614A0"/>
    <w:rsid w:val="00774DA4"/>
    <w:rsid w:val="00781F0F"/>
    <w:rsid w:val="0078318F"/>
    <w:rsid w:val="00787AA0"/>
    <w:rsid w:val="007B600E"/>
    <w:rsid w:val="007B6765"/>
    <w:rsid w:val="007F0F4A"/>
    <w:rsid w:val="008028A4"/>
    <w:rsid w:val="00820B25"/>
    <w:rsid w:val="00830747"/>
    <w:rsid w:val="008768CA"/>
    <w:rsid w:val="008C384C"/>
    <w:rsid w:val="008E7986"/>
    <w:rsid w:val="0090271F"/>
    <w:rsid w:val="00902E23"/>
    <w:rsid w:val="009114D7"/>
    <w:rsid w:val="0091348E"/>
    <w:rsid w:val="00917CCB"/>
    <w:rsid w:val="00942EC2"/>
    <w:rsid w:val="00976D69"/>
    <w:rsid w:val="009F37B7"/>
    <w:rsid w:val="009F5E43"/>
    <w:rsid w:val="00A10F02"/>
    <w:rsid w:val="00A122EC"/>
    <w:rsid w:val="00A164B4"/>
    <w:rsid w:val="00A26956"/>
    <w:rsid w:val="00A53724"/>
    <w:rsid w:val="00A73129"/>
    <w:rsid w:val="00A82346"/>
    <w:rsid w:val="00A92BA1"/>
    <w:rsid w:val="00AC6BC6"/>
    <w:rsid w:val="00AE3797"/>
    <w:rsid w:val="00B15449"/>
    <w:rsid w:val="00B22FC4"/>
    <w:rsid w:val="00B74630"/>
    <w:rsid w:val="00B93086"/>
    <w:rsid w:val="00BA19ED"/>
    <w:rsid w:val="00BA300B"/>
    <w:rsid w:val="00BA4B8D"/>
    <w:rsid w:val="00BB671F"/>
    <w:rsid w:val="00BC0F7D"/>
    <w:rsid w:val="00BC6E66"/>
    <w:rsid w:val="00BE3255"/>
    <w:rsid w:val="00BF128E"/>
    <w:rsid w:val="00C1496A"/>
    <w:rsid w:val="00C24A67"/>
    <w:rsid w:val="00C33079"/>
    <w:rsid w:val="00C45231"/>
    <w:rsid w:val="00C72833"/>
    <w:rsid w:val="00C80F1D"/>
    <w:rsid w:val="00C9162E"/>
    <w:rsid w:val="00C93F40"/>
    <w:rsid w:val="00CA3D0C"/>
    <w:rsid w:val="00CA3F47"/>
    <w:rsid w:val="00CF20E3"/>
    <w:rsid w:val="00D309CC"/>
    <w:rsid w:val="00D46431"/>
    <w:rsid w:val="00D47BC8"/>
    <w:rsid w:val="00D56A52"/>
    <w:rsid w:val="00D57972"/>
    <w:rsid w:val="00D65E67"/>
    <w:rsid w:val="00D675A9"/>
    <w:rsid w:val="00D738D6"/>
    <w:rsid w:val="00D755EB"/>
    <w:rsid w:val="00D87E00"/>
    <w:rsid w:val="00D9134D"/>
    <w:rsid w:val="00DA7A03"/>
    <w:rsid w:val="00DB1818"/>
    <w:rsid w:val="00DC309B"/>
    <w:rsid w:val="00DC4DA2"/>
    <w:rsid w:val="00DD4C17"/>
    <w:rsid w:val="00DF2B1F"/>
    <w:rsid w:val="00DF6189"/>
    <w:rsid w:val="00DF62CD"/>
    <w:rsid w:val="00E00293"/>
    <w:rsid w:val="00E16509"/>
    <w:rsid w:val="00E226D4"/>
    <w:rsid w:val="00E44582"/>
    <w:rsid w:val="00E50039"/>
    <w:rsid w:val="00E52814"/>
    <w:rsid w:val="00E72324"/>
    <w:rsid w:val="00E72ABE"/>
    <w:rsid w:val="00E77645"/>
    <w:rsid w:val="00EC4A25"/>
    <w:rsid w:val="00EE5AA7"/>
    <w:rsid w:val="00F025A2"/>
    <w:rsid w:val="00F04712"/>
    <w:rsid w:val="00F21311"/>
    <w:rsid w:val="00F22EC7"/>
    <w:rsid w:val="00F325C8"/>
    <w:rsid w:val="00F37DBA"/>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728B7-34DD-B74B-A402-8C9C623EB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234</TotalTime>
  <Pages>3</Pages>
  <Words>1659</Words>
  <Characters>9461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19</cp:revision>
  <cp:lastPrinted>2019-02-25T14:05:00Z</cp:lastPrinted>
  <dcterms:created xsi:type="dcterms:W3CDTF">2019-08-13T08:36:00Z</dcterms:created>
  <dcterms:modified xsi:type="dcterms:W3CDTF">2019-08-16T11:24:00Z</dcterms:modified>
  <cp:category/>
</cp:coreProperties>
</file>